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B63167" w:rsidTr="0025635C">
              <w:trPr>
                <w:trHeight w:val="283"/>
              </w:trPr>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00B63167"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«Иностранная филология»</w:t>
                  </w:r>
                </w:p>
              </w:tc>
            </w:tr>
            <w:tr w:rsidR="002B274B" w:rsidRPr="00B63167" w:rsidTr="0025635C">
              <w:tc>
                <w:tcPr>
                  <w:tcW w:w="15241" w:type="dxa"/>
                </w:tcPr>
                <w:p w:rsidR="002B274B" w:rsidRPr="00EC6DC5" w:rsidRDefault="002B274B" w:rsidP="00EC6DC5">
                  <w:pPr>
                    <w:rPr>
                      <w:rFonts w:ascii="Times New Roman" w:hAnsi="Times New Roman" w:cs="Times New Roman"/>
                      <w:sz w:val="24"/>
                      <w:szCs w:val="24"/>
                    </w:rPr>
                  </w:pPr>
                  <w:r w:rsidRPr="00B63167">
                    <w:rPr>
                      <w:rFonts w:ascii="Times New Roman" w:hAnsi="Times New Roman" w:cs="Times New Roman"/>
                      <w:b/>
                      <w:sz w:val="24"/>
                      <w:szCs w:val="24"/>
                    </w:rPr>
                    <w:t>Курс, отделение</w:t>
                  </w:r>
                  <w:r w:rsidR="00FF6770">
                    <w:rPr>
                      <w:rFonts w:ascii="Times New Roman" w:hAnsi="Times New Roman" w:cs="Times New Roman"/>
                      <w:sz w:val="24"/>
                      <w:szCs w:val="24"/>
                    </w:rPr>
                    <w:t xml:space="preserve">: </w:t>
                  </w:r>
                  <w:r w:rsidR="00EC6DC5">
                    <w:rPr>
                      <w:rFonts w:ascii="Times New Roman" w:hAnsi="Times New Roman" w:cs="Times New Roman"/>
                      <w:sz w:val="24"/>
                      <w:szCs w:val="24"/>
                    </w:rPr>
                    <w:t>4</w:t>
                  </w:r>
                  <w:r w:rsidR="002A697A">
                    <w:rPr>
                      <w:rFonts w:ascii="Times New Roman" w:hAnsi="Times New Roman" w:cs="Times New Roman"/>
                      <w:sz w:val="24"/>
                      <w:szCs w:val="24"/>
                    </w:rPr>
                    <w:t xml:space="preserve"> курс, </w:t>
                  </w:r>
                  <w:r w:rsidR="00EC6DC5" w:rsidRPr="00EC6DC5">
                    <w:rPr>
                      <w:rFonts w:ascii="Times New Roman" w:hAnsi="Times New Roman" w:cs="Times New Roman"/>
                      <w:sz w:val="24"/>
                      <w:szCs w:val="24"/>
                      <w:lang w:eastAsia="kk-KZ"/>
                    </w:rPr>
                    <w:t>5B02100</w:t>
                  </w:r>
                  <w:r w:rsidR="00EC6DC5" w:rsidRPr="00EC6DC5">
                    <w:rPr>
                      <w:rFonts w:ascii="Times New Roman" w:hAnsi="Times New Roman" w:cs="Times New Roman"/>
                      <w:sz w:val="24"/>
                      <w:szCs w:val="24"/>
                    </w:rPr>
                    <w:t xml:space="preserve"> «Иностранная филология»</w:t>
                  </w:r>
                </w:p>
              </w:tc>
            </w:tr>
            <w:tr w:rsidR="002B274B" w:rsidRPr="00B63167" w:rsidTr="0025635C">
              <w:tc>
                <w:tcPr>
                  <w:tcW w:w="15241" w:type="dxa"/>
                </w:tcPr>
                <w:p w:rsidR="002B274B" w:rsidRPr="00B63167" w:rsidRDefault="002B274B" w:rsidP="00EC6DC5">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sidR="00EC6DC5">
                    <w:rPr>
                      <w:rFonts w:ascii="Times New Roman" w:hAnsi="Times New Roman" w:cs="Times New Roman"/>
                      <w:sz w:val="24"/>
                      <w:szCs w:val="24"/>
                      <w:lang w:eastAsia="kk-KZ"/>
                    </w:rPr>
                    <w:t>Практикум по речевому общению</w:t>
                  </w:r>
                  <w:bookmarkStart w:id="0" w:name="_GoBack"/>
                  <w:bookmarkEnd w:id="0"/>
                </w:p>
              </w:tc>
            </w:tr>
            <w:tr w:rsidR="002B274B" w:rsidRPr="00B63167" w:rsidTr="0025635C">
              <w:tc>
                <w:tcPr>
                  <w:tcW w:w="15241" w:type="dxa"/>
                </w:tcPr>
                <w:p w:rsidR="00B63167" w:rsidRDefault="002B274B"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 xml:space="preserve">Сформировать  понимание </w:t>
                  </w:r>
                  <w:r w:rsidR="00B63167" w:rsidRPr="00B63167">
                    <w:rPr>
                      <w:rFonts w:ascii="Times New Roman" w:eastAsia="Calibri" w:hAnsi="Times New Roman" w:cs="Times New Roman"/>
                      <w:sz w:val="24"/>
                      <w:szCs w:val="24"/>
                      <w:shd w:val="clear" w:color="auto" w:fill="FFFFFF"/>
                    </w:rPr>
                    <w:t xml:space="preserve">закономерностей </w:t>
                  </w:r>
                  <w:r w:rsidR="00B63167" w:rsidRPr="00B63167">
                    <w:rPr>
                      <w:rFonts w:ascii="Times New Roman" w:eastAsia="Calibri" w:hAnsi="Times New Roman" w:cs="Times New Roman"/>
                      <w:sz w:val="24"/>
                      <w:szCs w:val="24"/>
                    </w:rPr>
                    <w:t xml:space="preserve">развития и </w:t>
                  </w:r>
                </w:p>
                <w:p w:rsidR="00B63167" w:rsidRDefault="00B63167"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222636" w:rsidRP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2B274B" w:rsidRPr="00B63167" w:rsidTr="0025635C">
              <w:trPr>
                <w:trHeight w:val="2183"/>
              </w:trPr>
              <w:tc>
                <w:tcPr>
                  <w:tcW w:w="15241" w:type="dxa"/>
                </w:tcPr>
                <w:p w:rsidR="002B274B" w:rsidRPr="00B63167" w:rsidRDefault="002B274B"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B63167" w:rsidRPr="00B63167" w:rsidRDefault="00B63167"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B63167" w:rsidRPr="00B63167" w:rsidRDefault="00B63167"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25635C" w:rsidRPr="00B63167" w:rsidRDefault="0025635C"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2. H. Langenscheidt Netzwerk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lastRenderedPageBreak/>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B63167"/>
    <w:rsid w:val="00C52C96"/>
    <w:rsid w:val="00EC6DC5"/>
    <w:rsid w:val="00FF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23</cp:revision>
  <cp:lastPrinted>2021-01-15T08:30:00Z</cp:lastPrinted>
  <dcterms:created xsi:type="dcterms:W3CDTF">2021-01-13T10:42:00Z</dcterms:created>
  <dcterms:modified xsi:type="dcterms:W3CDTF">2021-08-22T12:35:00Z</dcterms:modified>
</cp:coreProperties>
</file>